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224E55" w:rsidRDefault="006544C4" w:rsidP="00224E55">
      <w:pPr>
        <w:jc w:val="center"/>
        <w:rPr>
          <w:lang w:val="fr-FR"/>
        </w:rPr>
      </w:pPr>
      <w:bookmarkStart w:id="0" w:name="_GoBack"/>
      <w:bookmarkEnd w:id="0"/>
    </w:p>
    <w:p w:rsidR="006544C4" w:rsidRPr="00224E55" w:rsidRDefault="006544C4" w:rsidP="00224E55">
      <w:pPr>
        <w:jc w:val="center"/>
        <w:rPr>
          <w:lang w:val="fr-FR"/>
        </w:rPr>
      </w:pPr>
    </w:p>
    <w:p w:rsidR="006544C4" w:rsidRPr="00224E55" w:rsidRDefault="00587B17" w:rsidP="00224E55">
      <w:pPr>
        <w:pStyle w:val="DecHTitle"/>
        <w:rPr>
          <w:lang w:val="fr-FR"/>
        </w:rPr>
      </w:pPr>
      <w:r w:rsidRPr="00224E55">
        <w:rPr>
          <w:szCs w:val="24"/>
          <w:lang w:val="fr-FR"/>
        </w:rPr>
        <w:t>QUATRIÈME SECTION</w:t>
      </w:r>
    </w:p>
    <w:p w:rsidR="006544C4" w:rsidRPr="00224E55" w:rsidRDefault="006544C4" w:rsidP="00224E55">
      <w:pPr>
        <w:pStyle w:val="DecHTitle"/>
        <w:rPr>
          <w:caps/>
          <w:sz w:val="32"/>
          <w:lang w:val="fr-FR"/>
        </w:rPr>
      </w:pPr>
      <w:r w:rsidRPr="00224E55">
        <w:rPr>
          <w:lang w:val="fr-FR"/>
        </w:rPr>
        <w:t>DÉCISION</w:t>
      </w:r>
    </w:p>
    <w:p w:rsidR="006544C4" w:rsidRPr="00224E55" w:rsidRDefault="00587B17" w:rsidP="00224E55">
      <w:pPr>
        <w:pStyle w:val="ECHRTitleCentre2"/>
        <w:rPr>
          <w:lang w:val="fr-FR"/>
        </w:rPr>
      </w:pPr>
      <w:r w:rsidRPr="00224E55">
        <w:rPr>
          <w:lang w:val="fr-FR"/>
        </w:rPr>
        <w:t>Requête n</w:t>
      </w:r>
      <w:r w:rsidRPr="00224E55">
        <w:rPr>
          <w:vertAlign w:val="superscript"/>
          <w:lang w:val="fr-FR"/>
        </w:rPr>
        <w:t>o</w:t>
      </w:r>
      <w:r w:rsidR="006544C4" w:rsidRPr="00224E55">
        <w:rPr>
          <w:lang w:val="fr-FR"/>
        </w:rPr>
        <w:t xml:space="preserve"> </w:t>
      </w:r>
      <w:r w:rsidRPr="00224E55">
        <w:rPr>
          <w:lang w:val="fr-FR"/>
        </w:rPr>
        <w:t>29231/15</w:t>
      </w:r>
      <w:r w:rsidR="006544C4" w:rsidRPr="00224E55">
        <w:rPr>
          <w:lang w:val="fr-FR"/>
        </w:rPr>
        <w:br/>
      </w:r>
      <w:r w:rsidRPr="00224E55">
        <w:rPr>
          <w:lang w:val="fr-FR"/>
        </w:rPr>
        <w:t>Luigi DI TELLA et autres</w:t>
      </w:r>
      <w:r w:rsidRPr="00224E55">
        <w:rPr>
          <w:lang w:val="fr-FR"/>
        </w:rPr>
        <w:br/>
      </w:r>
      <w:r w:rsidR="006544C4" w:rsidRPr="00224E55">
        <w:rPr>
          <w:lang w:val="fr-FR"/>
        </w:rPr>
        <w:t xml:space="preserve">contre </w:t>
      </w:r>
      <w:r w:rsidRPr="00224E55">
        <w:rPr>
          <w:lang w:val="fr-FR"/>
        </w:rPr>
        <w:t>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Italie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La Cour européenne des droits de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homme (quatrième section), siégeant le 22 octobre 2015 en un comité composé de :</w:t>
      </w:r>
    </w:p>
    <w:p w:rsidR="00EB08C9" w:rsidRPr="00224E55" w:rsidRDefault="00587B17" w:rsidP="00224E55">
      <w:pPr>
        <w:pStyle w:val="ECHRDecisionBody"/>
        <w:rPr>
          <w:lang w:val="it-IT"/>
        </w:rPr>
      </w:pPr>
      <w:r w:rsidRPr="00224E55">
        <w:rPr>
          <w:lang w:val="fr-FR"/>
        </w:rPr>
        <w:tab/>
      </w:r>
      <w:r w:rsidRPr="00224E55">
        <w:rPr>
          <w:lang w:val="it-IT"/>
        </w:rPr>
        <w:t>Nona Tsotsoria,</w:t>
      </w:r>
      <w:r w:rsidRPr="00224E55">
        <w:rPr>
          <w:i/>
          <w:lang w:val="it-IT"/>
        </w:rPr>
        <w:t xml:space="preserve"> présidente,</w:t>
      </w:r>
      <w:r w:rsidRPr="00224E55">
        <w:rPr>
          <w:i/>
          <w:lang w:val="it-IT"/>
        </w:rPr>
        <w:br/>
      </w:r>
      <w:r w:rsidRPr="00224E55">
        <w:rPr>
          <w:lang w:val="it-IT"/>
        </w:rPr>
        <w:tab/>
        <w:t>Ledi Bianku,</w:t>
      </w:r>
      <w:r w:rsidRPr="00224E55">
        <w:rPr>
          <w:i/>
          <w:lang w:val="it-IT"/>
        </w:rPr>
        <w:br/>
      </w:r>
      <w:r w:rsidRPr="00224E55">
        <w:rPr>
          <w:lang w:val="it-IT"/>
        </w:rPr>
        <w:tab/>
        <w:t>Paul Mahoney,</w:t>
      </w:r>
      <w:r w:rsidRPr="00224E55">
        <w:rPr>
          <w:i/>
          <w:lang w:val="it-IT"/>
        </w:rPr>
        <w:t xml:space="preserve"> juges</w:t>
      </w:r>
      <w:r w:rsidR="00011479" w:rsidRPr="00224E55">
        <w:rPr>
          <w:i/>
          <w:lang w:val="it-IT"/>
        </w:rPr>
        <w:t>,</w:t>
      </w:r>
    </w:p>
    <w:p w:rsidR="00587B17" w:rsidRPr="00224E55" w:rsidRDefault="00587B17" w:rsidP="00224E55">
      <w:pPr>
        <w:pStyle w:val="ECHRDecisionBody"/>
        <w:rPr>
          <w:lang w:val="fr-FR"/>
        </w:rPr>
      </w:pPr>
      <w:r w:rsidRPr="00224E55">
        <w:rPr>
          <w:lang w:val="fr-FR"/>
        </w:rPr>
        <w:t xml:space="preserve">et de Fatoş Aracı, </w:t>
      </w:r>
      <w:r w:rsidRPr="00224E55">
        <w:rPr>
          <w:i/>
          <w:lang w:val="fr-FR"/>
        </w:rPr>
        <w:t>greffière adjointe de section</w:t>
      </w:r>
      <w:r w:rsidRPr="00224E55">
        <w:rPr>
          <w:lang w:val="fr-FR"/>
        </w:rPr>
        <w:t>,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Vu la requête susmentionnée introduite le 21 avril 2015,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Après en avoir délibéré, rend la décision suivante :</w:t>
      </w:r>
    </w:p>
    <w:p w:rsidR="00587B17" w:rsidRPr="00224E55" w:rsidRDefault="00587B17" w:rsidP="00224E55">
      <w:pPr>
        <w:pStyle w:val="ECHRTitle1"/>
        <w:rPr>
          <w:lang w:val="fr-FR"/>
        </w:rPr>
      </w:pPr>
      <w:r w:rsidRPr="00224E55">
        <w:rPr>
          <w:lang w:val="fr-FR"/>
        </w:rPr>
        <w:t>EN FAIT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1.  Ressortissants italiens, les requérants sont décédés avant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introduction de la requête (voir tableau en annexe). Ils sont représentés par M</w:t>
      </w:r>
      <w:r w:rsidRPr="00224E55">
        <w:rPr>
          <w:vertAlign w:val="superscript"/>
          <w:lang w:val="fr-FR"/>
        </w:rPr>
        <w:t>e</w:t>
      </w:r>
      <w:r w:rsidRPr="00224E55">
        <w:rPr>
          <w:lang w:val="fr-FR"/>
        </w:rPr>
        <w:t xml:space="preserve"> L. Masucci, avocate à Caserte.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2.  La requête a été introduite par les héritiers de personnes qui résidaient dans la province de Caserte et uniquement au nom des celles-ci. Cette zone fait partie du territoire couramment dénommée « </w:t>
      </w:r>
      <w:r w:rsidRPr="00224E55">
        <w:rPr>
          <w:i/>
          <w:lang w:val="fr-FR"/>
        </w:rPr>
        <w:t>La terra dei fuochi</w:t>
      </w:r>
      <w:r w:rsidRPr="00224E55">
        <w:rPr>
          <w:lang w:val="fr-FR"/>
        </w:rPr>
        <w:t> » où selon les déclarations d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 xml:space="preserve">un repenti de la </w:t>
      </w:r>
      <w:r w:rsidRPr="00224E55">
        <w:rPr>
          <w:i/>
          <w:lang w:val="fr-FR"/>
        </w:rPr>
        <w:t>Camorra</w:t>
      </w:r>
      <w:r w:rsidRPr="00224E55">
        <w:rPr>
          <w:lang w:val="fr-FR"/>
        </w:rPr>
        <w:t xml:space="preserve"> (organisation criminelle), pendant des années des déchets nuisibles à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environnement et à la santé de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homme auraient été ensevelis ou déversés illicitement. Tous les requérants ont été frappés par des maladies, prétendument causées par la présence desdits déchets, qui ont conduit aux leurs décès.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3.  Il ressort du formulaire de requête que les pouvoirs ont été signés par les héritiers des requérants (notamment, leurs parents ou leurs enfants).</w:t>
      </w:r>
    </w:p>
    <w:p w:rsidR="00587B17" w:rsidRPr="00224E55" w:rsidRDefault="00587B17" w:rsidP="00224E55">
      <w:pPr>
        <w:pStyle w:val="ECHRTitle1"/>
        <w:rPr>
          <w:lang w:val="fr-FR"/>
        </w:rPr>
      </w:pPr>
      <w:r w:rsidRPr="00224E55">
        <w:rPr>
          <w:lang w:val="fr-FR"/>
        </w:rPr>
        <w:lastRenderedPageBreak/>
        <w:t>GRIEFS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4.  Invoquant les articles 2 et 8 de la Convention, les requérants se plaignent de ce que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État, en s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abstenant d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adopter les mesures nécessaires pour éliminer les déchets nuisibles et pour bonifier les sites concernés, n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a pas protégé leurs vies.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5.  Invoquant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article 10 de la Convention, les requérants se plaignent du fait que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État a omis de les informer des risques liés au fait d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habiter dans un territoire pollué.</w:t>
      </w:r>
    </w:p>
    <w:p w:rsidR="00587B17" w:rsidRPr="00224E55" w:rsidRDefault="00587B17" w:rsidP="00224E55">
      <w:pPr>
        <w:pStyle w:val="ECHRTitle1"/>
        <w:rPr>
          <w:lang w:val="fr-FR"/>
        </w:rPr>
      </w:pPr>
      <w:r w:rsidRPr="00224E55">
        <w:rPr>
          <w:lang w:val="fr-FR"/>
        </w:rPr>
        <w:t>EN DROIT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6.  La Cour rappelle qu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elle doit, dans chaque affaire portée devant elle, s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assurer qu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elle est compétente pour connaître d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une requête et qu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il lui faut donc à chaque stade de la procédure examiner la question de sa compétence quand bien même aucune exception n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aurait été soulevée à cet égard (</w:t>
      </w:r>
      <w:r w:rsidRPr="00224E55">
        <w:rPr>
          <w:i/>
          <w:lang w:val="fr-FR"/>
        </w:rPr>
        <w:t>Blečić c. Croatie</w:t>
      </w:r>
      <w:r w:rsidRPr="00224E55">
        <w:rPr>
          <w:lang w:val="fr-FR"/>
        </w:rPr>
        <w:t xml:space="preserve"> [GC], n</w:t>
      </w:r>
      <w:r w:rsidRPr="00224E55">
        <w:rPr>
          <w:vertAlign w:val="superscript"/>
          <w:lang w:val="fr-FR"/>
        </w:rPr>
        <w:t>o</w:t>
      </w:r>
      <w:r w:rsidRPr="00224E55">
        <w:rPr>
          <w:lang w:val="fr-FR"/>
        </w:rPr>
        <w:t xml:space="preserve"> 59532/00, § 67, CEDH 2006</w:t>
      </w:r>
      <w:r w:rsidRPr="00224E55">
        <w:rPr>
          <w:rFonts w:hint="eastAsia"/>
          <w:lang w:val="fr-FR"/>
        </w:rPr>
        <w:t>‑</w:t>
      </w:r>
      <w:r w:rsidRPr="00224E55">
        <w:rPr>
          <w:lang w:val="fr-FR"/>
        </w:rPr>
        <w:t>III).</w:t>
      </w:r>
    </w:p>
    <w:p w:rsidR="00587B17" w:rsidRPr="00224E55" w:rsidRDefault="00587B17" w:rsidP="00224E55">
      <w:pPr>
        <w:pStyle w:val="ECHRPara"/>
        <w:rPr>
          <w:i/>
          <w:lang w:val="fr-FR"/>
        </w:rPr>
      </w:pPr>
      <w:r w:rsidRPr="00224E55">
        <w:rPr>
          <w:lang w:val="fr-FR"/>
        </w:rPr>
        <w:t>7.  La Cour rappelle qu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une exception relative au statut de victime touche à sa compétence (</w:t>
      </w:r>
      <w:r w:rsidRPr="00224E55">
        <w:rPr>
          <w:i/>
          <w:lang w:val="fr-FR"/>
        </w:rPr>
        <w:t>R.P. et autres c. Royaume-Uni</w:t>
      </w:r>
      <w:r w:rsidRPr="00224E55">
        <w:rPr>
          <w:lang w:val="fr-FR"/>
        </w:rPr>
        <w:t>, n</w:t>
      </w:r>
      <w:r w:rsidRPr="00224E55">
        <w:rPr>
          <w:vertAlign w:val="superscript"/>
          <w:lang w:val="fr-FR"/>
        </w:rPr>
        <w:t>o</w:t>
      </w:r>
      <w:r w:rsidRPr="00224E55">
        <w:rPr>
          <w:lang w:val="fr-FR"/>
        </w:rPr>
        <w:t xml:space="preserve"> 38245/08, §§ 46-47, 9 octobre 2012, </w:t>
      </w:r>
      <w:r w:rsidRPr="00224E55">
        <w:rPr>
          <w:i/>
          <w:lang w:val="fr-FR"/>
        </w:rPr>
        <w:t>Furman c. Slovénie et Autriche</w:t>
      </w:r>
      <w:r w:rsidRPr="00224E55">
        <w:rPr>
          <w:lang w:val="fr-FR"/>
        </w:rPr>
        <w:t>, n</w:t>
      </w:r>
      <w:r w:rsidRPr="00224E55">
        <w:rPr>
          <w:vertAlign w:val="superscript"/>
          <w:lang w:val="fr-FR"/>
        </w:rPr>
        <w:t>o</w:t>
      </w:r>
      <w:r w:rsidRPr="00224E55">
        <w:rPr>
          <w:lang w:val="fr-FR"/>
        </w:rPr>
        <w:t xml:space="preserve"> 16608/09, §§ 82-85, 5 </w:t>
      </w:r>
      <w:r w:rsidR="004B6429" w:rsidRPr="00224E55">
        <w:rPr>
          <w:lang w:val="fr-FR"/>
        </w:rPr>
        <w:t>février 2015</w:t>
      </w:r>
      <w:r w:rsidRPr="00224E55">
        <w:rPr>
          <w:lang w:val="fr-FR"/>
        </w:rPr>
        <w:t xml:space="preserve">; pour la distincte question concernant la perte de la qualité de victime, voir </w:t>
      </w:r>
      <w:r w:rsidRPr="00224E55">
        <w:rPr>
          <w:i/>
          <w:lang w:val="fr-FR"/>
        </w:rPr>
        <w:t>Mustafa Tunç et Fecire Tunç</w:t>
      </w:r>
      <w:r w:rsidRPr="00224E55">
        <w:rPr>
          <w:lang w:val="fr-FR"/>
        </w:rPr>
        <w:t xml:space="preserve"> </w:t>
      </w:r>
      <w:r w:rsidRPr="00224E55">
        <w:rPr>
          <w:i/>
          <w:lang w:val="fr-FR"/>
        </w:rPr>
        <w:t xml:space="preserve">c. Turquie </w:t>
      </w:r>
      <w:r w:rsidRPr="00224E55">
        <w:rPr>
          <w:lang w:val="fr-FR"/>
        </w:rPr>
        <w:t>[GC], n</w:t>
      </w:r>
      <w:r w:rsidRPr="00224E55">
        <w:rPr>
          <w:vertAlign w:val="superscript"/>
          <w:lang w:val="fr-FR"/>
        </w:rPr>
        <w:t>o</w:t>
      </w:r>
      <w:r w:rsidR="004B6429" w:rsidRPr="00224E55">
        <w:rPr>
          <w:lang w:val="fr-FR"/>
        </w:rPr>
        <w:t xml:space="preserve"> 24014/05, §§ </w:t>
      </w:r>
      <w:r w:rsidRPr="00224E55">
        <w:rPr>
          <w:lang w:val="fr-FR"/>
        </w:rPr>
        <w:t>112-135, 14 avril 2015). Ainsi, elle se doit de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examiner d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office.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8.  La Cour note que les requérants sont décédés avant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introduction de la présente requête. Elle rappelle qu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une personne décédée ne peut pas, même par le biais d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un représentant, introduire une requête devant la Cour (</w:t>
      </w:r>
      <w:r w:rsidRPr="00224E55">
        <w:rPr>
          <w:i/>
          <w:lang w:val="fr-FR"/>
        </w:rPr>
        <w:t>Macedonia Gavrielidou et autres c. Chypre</w:t>
      </w:r>
      <w:r w:rsidRPr="00224E55">
        <w:rPr>
          <w:lang w:val="fr-FR"/>
        </w:rPr>
        <w:t xml:space="preserve"> (déc.), n</w:t>
      </w:r>
      <w:r w:rsidRPr="00224E55">
        <w:rPr>
          <w:vertAlign w:val="superscript"/>
          <w:lang w:val="fr-FR"/>
        </w:rPr>
        <w:t>o</w:t>
      </w:r>
      <w:r w:rsidRPr="00224E55">
        <w:rPr>
          <w:lang w:val="fr-FR"/>
        </w:rPr>
        <w:t xml:space="preserve"> 73802/01, 13 novembre 2003, </w:t>
      </w:r>
      <w:r w:rsidRPr="00224E55">
        <w:rPr>
          <w:i/>
          <w:lang w:val="fr-FR"/>
        </w:rPr>
        <w:t>Yaşa c. Turquie</w:t>
      </w:r>
      <w:r w:rsidRPr="00224E55">
        <w:rPr>
          <w:lang w:val="fr-FR"/>
        </w:rPr>
        <w:t>, requête n</w:t>
      </w:r>
      <w:r w:rsidRPr="00224E55">
        <w:rPr>
          <w:vertAlign w:val="superscript"/>
          <w:lang w:val="fr-FR"/>
        </w:rPr>
        <w:t>o</w:t>
      </w:r>
      <w:r w:rsidRPr="00224E55">
        <w:rPr>
          <w:lang w:val="fr-FR"/>
        </w:rPr>
        <w:t xml:space="preserve"> 22495/93, rapport de la Commission du 8 avril 1997,</w:t>
      </w:r>
      <w:r w:rsidRPr="00224E55">
        <w:rPr>
          <w:i/>
          <w:lang w:val="fr-FR"/>
        </w:rPr>
        <w:t xml:space="preserve"> Dupin c. Croatie</w:t>
      </w:r>
      <w:r w:rsidRPr="00224E55">
        <w:rPr>
          <w:lang w:val="fr-FR"/>
        </w:rPr>
        <w:t xml:space="preserve"> (déc.), n</w:t>
      </w:r>
      <w:r w:rsidRPr="00224E55">
        <w:rPr>
          <w:vertAlign w:val="superscript"/>
          <w:lang w:val="fr-FR"/>
        </w:rPr>
        <w:t>o</w:t>
      </w:r>
      <w:r w:rsidR="004B6429" w:rsidRPr="00224E55">
        <w:rPr>
          <w:lang w:val="fr-FR"/>
        </w:rPr>
        <w:t xml:space="preserve"> 36868/03, 7 juillet </w:t>
      </w:r>
      <w:r w:rsidRPr="00224E55">
        <w:rPr>
          <w:lang w:val="fr-FR"/>
        </w:rPr>
        <w:t xml:space="preserve">2009, </w:t>
      </w:r>
      <w:r w:rsidRPr="00224E55">
        <w:rPr>
          <w:i/>
          <w:lang w:val="fr-FR"/>
        </w:rPr>
        <w:t>Gavrielidou et autres c. Chypre</w:t>
      </w:r>
      <w:r w:rsidRPr="00224E55">
        <w:rPr>
          <w:lang w:val="fr-FR"/>
        </w:rPr>
        <w:t xml:space="preserve"> (déc.), n</w:t>
      </w:r>
      <w:r w:rsidRPr="00224E55">
        <w:rPr>
          <w:vertAlign w:val="superscript"/>
          <w:lang w:val="fr-FR"/>
        </w:rPr>
        <w:t>o</w:t>
      </w:r>
      <w:r w:rsidR="004B6429" w:rsidRPr="00224E55">
        <w:rPr>
          <w:lang w:val="fr-FR"/>
        </w:rPr>
        <w:t>73802/01, 13 </w:t>
      </w:r>
      <w:r w:rsidRPr="00224E55">
        <w:rPr>
          <w:lang w:val="fr-FR"/>
        </w:rPr>
        <w:t xml:space="preserve">novembre 2003, </w:t>
      </w:r>
      <w:r w:rsidR="004B6429" w:rsidRPr="00224E55">
        <w:rPr>
          <w:i/>
          <w:lang w:val="fr-FR"/>
        </w:rPr>
        <w:t>Gürleşen et autres c.</w:t>
      </w:r>
      <w:r w:rsidRPr="00224E55">
        <w:rPr>
          <w:i/>
          <w:lang w:val="fr-FR"/>
        </w:rPr>
        <w:t xml:space="preserve"> Turquie</w:t>
      </w:r>
      <w:r w:rsidRPr="00224E55">
        <w:rPr>
          <w:lang w:val="fr-FR"/>
        </w:rPr>
        <w:t xml:space="preserve"> (déc.), n</w:t>
      </w:r>
      <w:r w:rsidRPr="00224E55">
        <w:rPr>
          <w:vertAlign w:val="superscript"/>
          <w:lang w:val="fr-FR"/>
        </w:rPr>
        <w:t>o</w:t>
      </w:r>
      <w:r w:rsidR="004B6429" w:rsidRPr="00224E55">
        <w:rPr>
          <w:lang w:val="fr-FR"/>
        </w:rPr>
        <w:t xml:space="preserve"> 15573/03, 29 </w:t>
      </w:r>
      <w:r w:rsidRPr="00224E55">
        <w:rPr>
          <w:lang w:val="fr-FR"/>
        </w:rPr>
        <w:t>April 2008). Les requérants ne peuvent donc pas être considérés comme victimes de violations de droits garantis par la Convention.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 xml:space="preserve">9.  Par conséquent, la requête est incompatible </w:t>
      </w:r>
      <w:r w:rsidRPr="00224E55">
        <w:rPr>
          <w:i/>
          <w:lang w:val="fr-FR"/>
        </w:rPr>
        <w:t>ratione personae</w:t>
      </w:r>
      <w:r w:rsidRPr="00224E55">
        <w:rPr>
          <w:lang w:val="fr-FR"/>
        </w:rPr>
        <w:t xml:space="preserve"> avec les dispositions de la Convention et de ses Protocoles et doit être rejetée conformément à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article 35 §§ 3 et 4 de la Convention.</w:t>
      </w:r>
    </w:p>
    <w:p w:rsidR="00587B17" w:rsidRPr="00224E55" w:rsidRDefault="00587B17" w:rsidP="00224E55">
      <w:pPr>
        <w:pStyle w:val="ECHRPara"/>
        <w:rPr>
          <w:lang w:val="fr-FR"/>
        </w:rPr>
      </w:pPr>
      <w:r w:rsidRPr="00224E55">
        <w:rPr>
          <w:lang w:val="fr-FR"/>
        </w:rPr>
        <w:t>10.  La Cour observe qu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il en irait autrement si les héritiers des requérants avaient saisi la Cour en leurs noms ce qui, toutefois, n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est pas le cas (voir en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 xml:space="preserve">espèce </w:t>
      </w:r>
      <w:r w:rsidRPr="00224E55">
        <w:rPr>
          <w:i/>
          <w:lang w:val="fr-FR"/>
        </w:rPr>
        <w:t>Šejić c. Serbie</w:t>
      </w:r>
      <w:r w:rsidRPr="00224E55">
        <w:rPr>
          <w:lang w:val="fr-FR"/>
        </w:rPr>
        <w:t xml:space="preserve"> (déc.), n</w:t>
      </w:r>
      <w:r w:rsidRPr="00224E55">
        <w:rPr>
          <w:vertAlign w:val="superscript"/>
          <w:lang w:val="fr-FR"/>
        </w:rPr>
        <w:t>o</w:t>
      </w:r>
      <w:r w:rsidRPr="00224E55">
        <w:rPr>
          <w:lang w:val="fr-FR"/>
        </w:rPr>
        <w:t xml:space="preserve"> 45599/08, 17 septembre 2013).</w:t>
      </w:r>
    </w:p>
    <w:p w:rsidR="00587B17" w:rsidRPr="00224E55" w:rsidRDefault="00587B17" w:rsidP="00224E55">
      <w:pPr>
        <w:pStyle w:val="JuParaLast"/>
        <w:rPr>
          <w:lang w:val="fr-FR"/>
        </w:rPr>
      </w:pPr>
      <w:r w:rsidRPr="00224E55">
        <w:rPr>
          <w:lang w:val="fr-FR"/>
        </w:rPr>
        <w:lastRenderedPageBreak/>
        <w:t>Par ces motifs, la Cour, à l</w:t>
      </w:r>
      <w:r w:rsidR="00224E55" w:rsidRPr="00224E55">
        <w:rPr>
          <w:lang w:val="fr-FR"/>
        </w:rPr>
        <w:t>’</w:t>
      </w:r>
      <w:r w:rsidRPr="00224E55">
        <w:rPr>
          <w:lang w:val="fr-FR"/>
        </w:rPr>
        <w:t>unanimité,</w:t>
      </w:r>
    </w:p>
    <w:p w:rsidR="00587B17" w:rsidRPr="00224E55" w:rsidRDefault="00587B17" w:rsidP="00224E55">
      <w:pPr>
        <w:pStyle w:val="DecList"/>
        <w:rPr>
          <w:lang w:val="fr-FR"/>
        </w:rPr>
      </w:pPr>
      <w:r w:rsidRPr="00224E55">
        <w:rPr>
          <w:i/>
          <w:lang w:val="fr-FR"/>
        </w:rPr>
        <w:t>Déclare</w:t>
      </w:r>
      <w:r w:rsidRPr="00224E55">
        <w:rPr>
          <w:lang w:val="fr-FR"/>
        </w:rPr>
        <w:t xml:space="preserve"> la requête irrecevable.</w:t>
      </w:r>
    </w:p>
    <w:p w:rsidR="006544C4" w:rsidRPr="00224E55" w:rsidRDefault="006544C4" w:rsidP="00224E55">
      <w:pPr>
        <w:pStyle w:val="ECHRPara"/>
        <w:rPr>
          <w:sz w:val="2"/>
          <w:szCs w:val="2"/>
          <w:lang w:val="fr-FR" w:eastAsia="en-GB"/>
        </w:rPr>
      </w:pPr>
    </w:p>
    <w:p w:rsidR="006F19B0" w:rsidRPr="00224E55" w:rsidRDefault="00F40988" w:rsidP="00224E55">
      <w:pPr>
        <w:pStyle w:val="JuParaLast"/>
        <w:rPr>
          <w:lang w:val="fr-FR"/>
        </w:rPr>
      </w:pPr>
      <w:r w:rsidRPr="00224E55">
        <w:rPr>
          <w:szCs w:val="24"/>
          <w:lang w:val="fr-FR"/>
        </w:rPr>
        <w:t xml:space="preserve">Fait en français puis communiqué par écrit le </w:t>
      </w:r>
      <w:r w:rsidR="00587B17" w:rsidRPr="00224E55">
        <w:rPr>
          <w:szCs w:val="24"/>
          <w:lang w:val="fr-FR"/>
        </w:rPr>
        <w:t>12 novembre 2015</w:t>
      </w:r>
      <w:r w:rsidRPr="00224E55">
        <w:rPr>
          <w:lang w:val="fr-FR"/>
        </w:rPr>
        <w:t>.</w:t>
      </w:r>
    </w:p>
    <w:p w:rsidR="00CE6ED9" w:rsidRPr="00224E55" w:rsidRDefault="00587B17" w:rsidP="00224E55">
      <w:pPr>
        <w:pStyle w:val="JuSigned"/>
        <w:rPr>
          <w:lang w:val="fr-FR"/>
        </w:rPr>
      </w:pPr>
      <w:r w:rsidRPr="00224E55">
        <w:rPr>
          <w:lang w:val="fr-FR"/>
        </w:rPr>
        <w:tab/>
        <w:t>Fatoş Aracı</w:t>
      </w:r>
      <w:r w:rsidR="006544C4" w:rsidRPr="00224E55">
        <w:rPr>
          <w:lang w:val="fr-FR"/>
        </w:rPr>
        <w:tab/>
      </w:r>
      <w:r w:rsidRPr="00224E55">
        <w:rPr>
          <w:lang w:val="fr-FR"/>
        </w:rPr>
        <w:t>Nona Tsotsoria</w:t>
      </w:r>
      <w:r w:rsidR="006544C4" w:rsidRPr="00224E55">
        <w:rPr>
          <w:lang w:val="fr-FR"/>
        </w:rPr>
        <w:br/>
      </w:r>
      <w:r w:rsidR="006544C4" w:rsidRPr="00224E55">
        <w:rPr>
          <w:lang w:val="fr-FR"/>
        </w:rPr>
        <w:tab/>
      </w:r>
      <w:r w:rsidRPr="00224E55">
        <w:rPr>
          <w:lang w:val="fr-FR"/>
        </w:rPr>
        <w:t>Greffière adjointe</w:t>
      </w:r>
      <w:r w:rsidR="006544C4" w:rsidRPr="00224E55">
        <w:rPr>
          <w:lang w:val="fr-FR"/>
        </w:rPr>
        <w:tab/>
      </w:r>
      <w:r w:rsidRPr="00224E55">
        <w:rPr>
          <w:lang w:val="fr-FR"/>
        </w:rPr>
        <w:t>Présidente</w:t>
      </w:r>
    </w:p>
    <w:p w:rsidR="00587B17" w:rsidRPr="00224E55" w:rsidRDefault="00587B17" w:rsidP="00224E55">
      <w:pPr>
        <w:rPr>
          <w:lang w:val="fr-FR"/>
        </w:rPr>
      </w:pPr>
      <w:r w:rsidRPr="00224E55">
        <w:rPr>
          <w:lang w:val="fr-FR"/>
        </w:rPr>
        <w:br w:type="page"/>
      </w:r>
    </w:p>
    <w:p w:rsidR="004D15F3" w:rsidRPr="00224E55" w:rsidRDefault="00587B17" w:rsidP="00224E55">
      <w:pPr>
        <w:pStyle w:val="JuTitle"/>
        <w:rPr>
          <w:lang w:val="fr-FR"/>
        </w:rPr>
      </w:pPr>
      <w:r w:rsidRPr="00224E55">
        <w:rPr>
          <w:lang w:val="fr-FR"/>
        </w:rPr>
        <w:lastRenderedPageBreak/>
        <w:t>ANNEXE</w:t>
      </w:r>
    </w:p>
    <w:tbl>
      <w:tblPr>
        <w:tblStyle w:val="ECHRListTable"/>
        <w:tblW w:w="5335" w:type="pct"/>
        <w:tblInd w:w="-318" w:type="dxa"/>
        <w:tblLook w:val="05E0" w:firstRow="1" w:lastRow="1" w:firstColumn="1" w:lastColumn="1" w:noHBand="0" w:noVBand="1"/>
      </w:tblPr>
      <w:tblGrid>
        <w:gridCol w:w="710"/>
        <w:gridCol w:w="1996"/>
        <w:gridCol w:w="1408"/>
        <w:gridCol w:w="1556"/>
        <w:gridCol w:w="2411"/>
      </w:tblGrid>
      <w:tr w:rsidR="00587B17" w:rsidRPr="00224E55" w:rsidTr="00587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N</w:t>
            </w:r>
            <w:r w:rsidRPr="00224E55">
              <w:rPr>
                <w:szCs w:val="24"/>
                <w:vertAlign w:val="superscript"/>
              </w:rPr>
              <w:t>o</w:t>
            </w:r>
            <w:r w:rsidRPr="00224E55">
              <w:rPr>
                <w:szCs w:val="24"/>
              </w:rPr>
              <w:t>.</w:t>
            </w:r>
          </w:p>
        </w:tc>
        <w:tc>
          <w:tcPr>
            <w:tcW w:w="1235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Prénom NOM</w:t>
            </w:r>
          </w:p>
        </w:tc>
        <w:tc>
          <w:tcPr>
            <w:tcW w:w="871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Date de naissance</w:t>
            </w:r>
          </w:p>
        </w:tc>
        <w:tc>
          <w:tcPr>
            <w:tcW w:w="963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Date du décès</w:t>
            </w:r>
          </w:p>
        </w:tc>
        <w:tc>
          <w:tcPr>
            <w:tcW w:w="1492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Dernier lieu de résidence</w:t>
            </w:r>
          </w:p>
        </w:tc>
      </w:tr>
      <w:tr w:rsidR="00587B17" w:rsidRPr="00224E55" w:rsidTr="00587B17">
        <w:tc>
          <w:tcPr>
            <w:tcW w:w="439" w:type="pct"/>
          </w:tcPr>
          <w:p w:rsidR="00587B17" w:rsidRPr="00224E55" w:rsidRDefault="00587B17" w:rsidP="00224E55">
            <w:pPr>
              <w:ind w:left="-108" w:firstLine="142"/>
              <w:rPr>
                <w:b/>
                <w:szCs w:val="24"/>
              </w:rPr>
            </w:pPr>
            <w:r w:rsidRPr="00224E55">
              <w:rPr>
                <w:b/>
                <w:szCs w:val="24"/>
              </w:rPr>
              <w:t>1</w:t>
            </w:r>
          </w:p>
        </w:tc>
        <w:tc>
          <w:tcPr>
            <w:tcW w:w="1235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Luigi DI TELLA</w:t>
            </w:r>
          </w:p>
        </w:tc>
        <w:tc>
          <w:tcPr>
            <w:tcW w:w="871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01/09/1923</w:t>
            </w:r>
          </w:p>
        </w:tc>
        <w:tc>
          <w:tcPr>
            <w:tcW w:w="963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22/01/2011</w:t>
            </w:r>
          </w:p>
        </w:tc>
        <w:tc>
          <w:tcPr>
            <w:tcW w:w="1492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San Cipriano d</w:t>
            </w:r>
            <w:r w:rsidR="00224E55" w:rsidRPr="00224E55">
              <w:rPr>
                <w:szCs w:val="24"/>
              </w:rPr>
              <w:t>’</w:t>
            </w:r>
            <w:r w:rsidRPr="00224E55">
              <w:rPr>
                <w:szCs w:val="24"/>
              </w:rPr>
              <w:t>Aversa (CE)</w:t>
            </w:r>
          </w:p>
        </w:tc>
      </w:tr>
      <w:tr w:rsidR="00587B17" w:rsidRPr="00224E55" w:rsidTr="00587B17">
        <w:tc>
          <w:tcPr>
            <w:tcW w:w="439" w:type="pct"/>
          </w:tcPr>
          <w:p w:rsidR="00587B17" w:rsidRPr="00224E55" w:rsidRDefault="00587B17" w:rsidP="00224E55">
            <w:pPr>
              <w:rPr>
                <w:b/>
                <w:szCs w:val="24"/>
              </w:rPr>
            </w:pPr>
            <w:r w:rsidRPr="00224E55">
              <w:rPr>
                <w:b/>
                <w:szCs w:val="24"/>
              </w:rPr>
              <w:t>2</w:t>
            </w:r>
          </w:p>
        </w:tc>
        <w:tc>
          <w:tcPr>
            <w:tcW w:w="1235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Francesco CATERINO</w:t>
            </w:r>
          </w:p>
        </w:tc>
        <w:tc>
          <w:tcPr>
            <w:tcW w:w="871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30/10/1986</w:t>
            </w:r>
          </w:p>
        </w:tc>
        <w:tc>
          <w:tcPr>
            <w:tcW w:w="963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18/04/2000</w:t>
            </w:r>
          </w:p>
        </w:tc>
        <w:tc>
          <w:tcPr>
            <w:tcW w:w="1492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San Cipriano d</w:t>
            </w:r>
            <w:r w:rsidR="00224E55" w:rsidRPr="00224E55">
              <w:rPr>
                <w:szCs w:val="24"/>
              </w:rPr>
              <w:t>’</w:t>
            </w:r>
            <w:r w:rsidRPr="00224E55">
              <w:rPr>
                <w:szCs w:val="24"/>
              </w:rPr>
              <w:t>Aversa (CE)</w:t>
            </w:r>
          </w:p>
        </w:tc>
      </w:tr>
      <w:tr w:rsidR="00587B17" w:rsidRPr="00224E55" w:rsidTr="00587B17">
        <w:tc>
          <w:tcPr>
            <w:tcW w:w="439" w:type="pct"/>
          </w:tcPr>
          <w:p w:rsidR="00587B17" w:rsidRPr="00224E55" w:rsidRDefault="00587B17" w:rsidP="00224E55">
            <w:pPr>
              <w:ind w:left="34"/>
              <w:rPr>
                <w:b/>
                <w:szCs w:val="24"/>
              </w:rPr>
            </w:pPr>
            <w:r w:rsidRPr="00224E55">
              <w:rPr>
                <w:b/>
                <w:szCs w:val="24"/>
              </w:rPr>
              <w:t>3</w:t>
            </w:r>
          </w:p>
        </w:tc>
        <w:tc>
          <w:tcPr>
            <w:tcW w:w="1235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Francesco Saverio DI BONITO</w:t>
            </w:r>
          </w:p>
        </w:tc>
        <w:tc>
          <w:tcPr>
            <w:tcW w:w="871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07/10/1937</w:t>
            </w:r>
          </w:p>
        </w:tc>
        <w:tc>
          <w:tcPr>
            <w:tcW w:w="963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15/02/1995</w:t>
            </w:r>
          </w:p>
        </w:tc>
        <w:tc>
          <w:tcPr>
            <w:tcW w:w="1492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San Cipriano d</w:t>
            </w:r>
            <w:r w:rsidR="00224E55" w:rsidRPr="00224E55">
              <w:rPr>
                <w:szCs w:val="24"/>
              </w:rPr>
              <w:t>’</w:t>
            </w:r>
            <w:r w:rsidRPr="00224E55">
              <w:rPr>
                <w:szCs w:val="24"/>
              </w:rPr>
              <w:t>Aversa (CE)</w:t>
            </w:r>
          </w:p>
        </w:tc>
      </w:tr>
      <w:tr w:rsidR="00587B17" w:rsidRPr="00224E55" w:rsidTr="00587B17">
        <w:tc>
          <w:tcPr>
            <w:tcW w:w="439" w:type="pct"/>
          </w:tcPr>
          <w:p w:rsidR="00587B17" w:rsidRPr="00224E55" w:rsidRDefault="00587B17" w:rsidP="00224E55">
            <w:pPr>
              <w:ind w:left="34"/>
              <w:rPr>
                <w:b/>
                <w:szCs w:val="24"/>
              </w:rPr>
            </w:pPr>
            <w:r w:rsidRPr="00224E55">
              <w:rPr>
                <w:b/>
                <w:szCs w:val="24"/>
              </w:rPr>
              <w:t>4</w:t>
            </w:r>
          </w:p>
        </w:tc>
        <w:tc>
          <w:tcPr>
            <w:tcW w:w="1235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Ciro GAUDIANO</w:t>
            </w:r>
          </w:p>
        </w:tc>
        <w:tc>
          <w:tcPr>
            <w:tcW w:w="871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20/06/1954</w:t>
            </w:r>
          </w:p>
        </w:tc>
        <w:tc>
          <w:tcPr>
            <w:tcW w:w="963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8/03/2015</w:t>
            </w:r>
          </w:p>
        </w:tc>
        <w:tc>
          <w:tcPr>
            <w:tcW w:w="1492" w:type="pct"/>
          </w:tcPr>
          <w:p w:rsidR="00587B17" w:rsidRPr="00224E55" w:rsidRDefault="00587B17" w:rsidP="00224E55">
            <w:pPr>
              <w:jc w:val="left"/>
              <w:rPr>
                <w:szCs w:val="24"/>
                <w:lang w:val="it-IT"/>
              </w:rPr>
            </w:pPr>
            <w:r w:rsidRPr="00224E55">
              <w:rPr>
                <w:szCs w:val="24"/>
                <w:lang w:val="it-IT"/>
              </w:rPr>
              <w:t>Santa Maria La Fossa (CE)</w:t>
            </w:r>
          </w:p>
        </w:tc>
      </w:tr>
      <w:tr w:rsidR="00587B17" w:rsidRPr="00224E55" w:rsidTr="00587B17">
        <w:tc>
          <w:tcPr>
            <w:tcW w:w="439" w:type="pct"/>
          </w:tcPr>
          <w:p w:rsidR="00587B17" w:rsidRPr="00224E55" w:rsidRDefault="00587B17" w:rsidP="00224E55">
            <w:pPr>
              <w:ind w:left="34"/>
              <w:rPr>
                <w:b/>
                <w:szCs w:val="24"/>
                <w:lang w:val="it-IT"/>
              </w:rPr>
            </w:pPr>
            <w:r w:rsidRPr="00224E55">
              <w:rPr>
                <w:b/>
                <w:szCs w:val="24"/>
                <w:lang w:val="it-IT"/>
              </w:rPr>
              <w:t>5</w:t>
            </w:r>
          </w:p>
        </w:tc>
        <w:tc>
          <w:tcPr>
            <w:tcW w:w="1235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Raffaele MOTTI</w:t>
            </w:r>
          </w:p>
        </w:tc>
        <w:tc>
          <w:tcPr>
            <w:tcW w:w="871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21/05/1951</w:t>
            </w:r>
          </w:p>
        </w:tc>
        <w:tc>
          <w:tcPr>
            <w:tcW w:w="963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15/02/2008</w:t>
            </w:r>
          </w:p>
        </w:tc>
        <w:tc>
          <w:tcPr>
            <w:tcW w:w="1492" w:type="pct"/>
          </w:tcPr>
          <w:p w:rsidR="00587B17" w:rsidRPr="00224E55" w:rsidRDefault="00587B17" w:rsidP="00224E55">
            <w:pPr>
              <w:jc w:val="left"/>
              <w:rPr>
                <w:szCs w:val="24"/>
              </w:rPr>
            </w:pPr>
            <w:r w:rsidRPr="00224E55">
              <w:rPr>
                <w:szCs w:val="24"/>
              </w:rPr>
              <w:t>Parete (CE)</w:t>
            </w:r>
          </w:p>
        </w:tc>
      </w:tr>
    </w:tbl>
    <w:p w:rsidR="00587B17" w:rsidRPr="00224E55" w:rsidRDefault="00587B17" w:rsidP="00224E55">
      <w:pPr>
        <w:rPr>
          <w:szCs w:val="24"/>
          <w:lang w:val="fr-FR"/>
        </w:rPr>
      </w:pPr>
    </w:p>
    <w:sectPr w:rsidR="00587B17" w:rsidRPr="00224E5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EC" w:rsidRDefault="008129EC" w:rsidP="006544C4">
      <w:r>
        <w:separator/>
      </w:r>
    </w:p>
  </w:endnote>
  <w:endnote w:type="continuationSeparator" w:id="0">
    <w:p w:rsidR="008129EC" w:rsidRDefault="008129EC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17" w:rsidRPr="00150BFA" w:rsidRDefault="00587B1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32C25ED6" wp14:editId="65BD187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8129EC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EC" w:rsidRDefault="008129EC" w:rsidP="006544C4">
      <w:r>
        <w:separator/>
      </w:r>
    </w:p>
  </w:footnote>
  <w:footnote w:type="continuationSeparator" w:id="0">
    <w:p w:rsidR="008129EC" w:rsidRDefault="008129EC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87B17" w:rsidRDefault="00587B1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87B1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723350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587B17">
      <w:rPr>
        <w:lang w:val="fr-FR"/>
      </w:rPr>
      <w:tab/>
      <w:t xml:space="preserve">DÉCISION </w:t>
    </w:r>
    <w:r w:rsidRPr="00587B17">
      <w:rPr>
        <w:lang w:val="fr-FR"/>
      </w:rPr>
      <w:t>DI TELLA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87B17" w:rsidRDefault="00334EC5" w:rsidP="006544C4">
    <w:pPr>
      <w:pStyle w:val="ECHRHeader"/>
      <w:rPr>
        <w:lang w:val="fr-FR"/>
      </w:rPr>
    </w:pPr>
    <w:r>
      <w:tab/>
    </w:r>
    <w:r w:rsidRPr="00587B17">
      <w:rPr>
        <w:lang w:val="fr-FR"/>
      </w:rPr>
      <w:t xml:space="preserve">DÉCISION </w:t>
    </w:r>
    <w:r w:rsidR="00587B17" w:rsidRPr="00587B17">
      <w:rPr>
        <w:lang w:val="fr-FR"/>
      </w:rPr>
      <w:t>DI TELLA ET AUTRES c. ITALIE</w:t>
    </w:r>
    <w:r w:rsidRPr="00587B17">
      <w:rPr>
        <w:lang w:val="fr-FR"/>
      </w:rPr>
      <w:tab/>
    </w:r>
    <w:r w:rsidR="00587B17">
      <w:rPr>
        <w:rStyle w:val="Numeropagina"/>
        <w:lang w:val="en-GB"/>
      </w:rPr>
      <w:fldChar w:fldCharType="begin"/>
    </w:r>
    <w:r w:rsidR="00587B17" w:rsidRPr="00587B17">
      <w:rPr>
        <w:rStyle w:val="Numeropagina"/>
        <w:lang w:val="fr-FR"/>
      </w:rPr>
      <w:instrText xml:space="preserve"> PAGE </w:instrText>
    </w:r>
    <w:r w:rsidR="00587B17">
      <w:rPr>
        <w:rStyle w:val="Numeropagina"/>
        <w:lang w:val="en-GB"/>
      </w:rPr>
      <w:fldChar w:fldCharType="separate"/>
    </w:r>
    <w:r w:rsidR="00723350">
      <w:rPr>
        <w:rStyle w:val="Numeropagina"/>
        <w:noProof/>
        <w:lang w:val="fr-FR"/>
      </w:rPr>
      <w:t>3</w:t>
    </w:r>
    <w:r w:rsidR="00587B1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17" w:rsidRPr="00A45145" w:rsidRDefault="00587B1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2A6EF23" wp14:editId="6930F9F0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8129EC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341A2B"/>
    <w:multiLevelType w:val="hybridMultilevel"/>
    <w:tmpl w:val="E0606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3"/>
    <w:docVar w:name="SignForeName" w:val="0"/>
  </w:docVars>
  <w:rsids>
    <w:rsidRoot w:val="00587B17"/>
    <w:rsid w:val="000041F8"/>
    <w:rsid w:val="000042A8"/>
    <w:rsid w:val="00004308"/>
    <w:rsid w:val="00005BF0"/>
    <w:rsid w:val="00007154"/>
    <w:rsid w:val="000103AE"/>
    <w:rsid w:val="00011479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670A8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24E55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1B1A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B6429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7B17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350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129EC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2FE9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08C9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uiPriority w:val="14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3842-6DAA-4710-BEA3-E34BF6A0B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849C7-DC39-4998-B08A-196E88547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BE37E-DB25-417B-B4B4-C2E58646B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0DE80-77D0-4DD7-BB20-08CEB319F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2015-12-10T14:45:00Z</dcterms:created>
  <dcterms:modified xsi:type="dcterms:W3CDTF">2015-12-10T14:45:00Z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29231/15</vt:lpwstr>
  </property>
  <property fmtid="{D5CDD505-2E9C-101B-9397-08002B2CF9AE}" pid="4" name="OrigTemp">
    <vt:lpwstr>French\Documents\DF01 Decisions et Rapports\Reports automation IT ONLY\New Décision.dotx</vt:lpwstr>
  </property>
  <property fmtid="{D5CDD505-2E9C-101B-9397-08002B2CF9AE}" pid="5" name="ContentTypeId">
    <vt:lpwstr>0x010100558EB02BDB9E204AB350EDD385B68E10</vt:lpwstr>
  </property>
  <property fmtid="{D5CDD505-2E9C-101B-9397-08002B2CF9AE}" pid="6" name="CASEID">
    <vt:lpwstr>1139589</vt:lpwstr>
  </property>
</Properties>
</file>